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007D" w14:textId="076435A8" w:rsidR="00E90499" w:rsidRPr="00BC6E99" w:rsidRDefault="00302EC3" w:rsidP="00302EC3">
      <w:pPr>
        <w:spacing w:after="120" w:line="360" w:lineRule="auto"/>
        <w:ind w:left="567" w:right="2262"/>
        <w:rPr>
          <w:rFonts w:ascii="Arial" w:hAnsi="Arial" w:cs="Arial"/>
          <w:b/>
          <w:sz w:val="28"/>
          <w:szCs w:val="28"/>
        </w:rPr>
      </w:pPr>
      <w:r>
        <w:rPr>
          <w:rFonts w:ascii="Arial" w:hAnsi="Arial"/>
          <w:b/>
          <w:sz w:val="28"/>
        </w:rPr>
        <w:t xml:space="preserve">Cultivador de acople Cenius de AMAZONE ahora con seguro de sobrecarga hidráulica </w:t>
      </w:r>
    </w:p>
    <w:p w14:paraId="448021A6" w14:textId="0F1FA5E1" w:rsidR="00E33D18" w:rsidRPr="00BC6E99" w:rsidRDefault="00E90499" w:rsidP="00E33D18">
      <w:pPr>
        <w:spacing w:after="120" w:line="360" w:lineRule="auto"/>
        <w:ind w:left="567" w:right="1695"/>
        <w:rPr>
          <w:rFonts w:ascii="Arial" w:hAnsi="Arial" w:cs="Arial"/>
          <w:b/>
        </w:rPr>
      </w:pPr>
      <w:r>
        <w:rPr>
          <w:rFonts w:ascii="Arial" w:hAnsi="Arial"/>
          <w:b/>
        </w:rPr>
        <w:t xml:space="preserve">Alta seguridad de uso con púa C Mix Ultra </w:t>
      </w:r>
    </w:p>
    <w:p w14:paraId="1CBE4FD0" w14:textId="1ABF6121" w:rsidR="004A4E71" w:rsidRDefault="004A4E71" w:rsidP="00921FE3">
      <w:pPr>
        <w:spacing w:after="120" w:line="360" w:lineRule="auto"/>
        <w:ind w:left="567" w:right="1695"/>
        <w:rPr>
          <w:rFonts w:ascii="Arial" w:eastAsia="Arial" w:hAnsi="Arial" w:cs="Arial"/>
        </w:rPr>
      </w:pPr>
    </w:p>
    <w:p w14:paraId="086E5E96" w14:textId="5907BACD" w:rsidR="00E90499" w:rsidRDefault="00E90499" w:rsidP="00E90499">
      <w:pPr>
        <w:spacing w:after="120" w:line="360" w:lineRule="auto"/>
        <w:ind w:left="567" w:right="2262"/>
        <w:rPr>
          <w:rFonts w:ascii="Arial" w:hAnsi="Arial" w:cs="Arial"/>
          <w:bCs/>
        </w:rPr>
      </w:pPr>
      <w:r>
        <w:rPr>
          <w:rFonts w:ascii="Arial" w:hAnsi="Arial"/>
        </w:rPr>
        <w:t>Con el Cenius Ultra, AMAZONE ofrece un nuevo tipo de producto en la gama de cultivadores de acople con anchos de trabajo de 3,00 m y 3,50 m. Una característica del equipamiento es la púa C Mix Ultra con seguro de sobrecarga automático mediante cilindro hidráulico. El robusto sistema de púa ofrece una gran fiabilidad y durabilidad, especialmente en condiciones de funcionamiento intensivo.</w:t>
      </w:r>
    </w:p>
    <w:p w14:paraId="0302E161" w14:textId="77777777" w:rsidR="00023031" w:rsidRDefault="00023031" w:rsidP="00E90499">
      <w:pPr>
        <w:spacing w:after="120" w:line="360" w:lineRule="auto"/>
        <w:ind w:left="567" w:right="2262"/>
        <w:rPr>
          <w:rFonts w:ascii="Arial" w:hAnsi="Arial" w:cs="Arial"/>
          <w:bCs/>
        </w:rPr>
      </w:pPr>
    </w:p>
    <w:p w14:paraId="09780EF9" w14:textId="31FF30D3" w:rsidR="00A97579" w:rsidRPr="00023031" w:rsidRDefault="00023031" w:rsidP="00E90499">
      <w:pPr>
        <w:spacing w:after="120" w:line="360" w:lineRule="auto"/>
        <w:ind w:left="567" w:right="2262"/>
        <w:rPr>
          <w:rFonts w:ascii="Arial" w:hAnsi="Arial" w:cs="Arial"/>
          <w:b/>
        </w:rPr>
      </w:pPr>
      <w:r>
        <w:rPr>
          <w:rFonts w:ascii="Arial" w:hAnsi="Arial"/>
          <w:b/>
        </w:rPr>
        <w:t>Flexibilidad en cualquier suelo</w:t>
      </w:r>
    </w:p>
    <w:p w14:paraId="57399142" w14:textId="03699121" w:rsidR="00067545" w:rsidRDefault="00A97579" w:rsidP="00E90499">
      <w:pPr>
        <w:spacing w:after="120" w:line="360" w:lineRule="auto"/>
        <w:ind w:left="567" w:right="2262"/>
        <w:rPr>
          <w:rFonts w:ascii="Arial" w:hAnsi="Arial" w:cs="Arial"/>
          <w:bCs/>
        </w:rPr>
      </w:pPr>
      <w:r>
        <w:rPr>
          <w:rFonts w:ascii="Arial" w:hAnsi="Arial"/>
        </w:rPr>
        <w:t>La púa C Mix Ultra realmente da lo mejor de sí en condiciones de suelo cambiantes. La fuerza de desenganche puede ajustarse de forma continua entre 500</w:t>
      </w:r>
      <w:r>
        <w:rPr>
          <w:rFonts w:ascii="Arial" w:hAnsi="Arial"/>
          <w:color w:val="FF0000"/>
        </w:rPr>
        <w:t xml:space="preserve"> </w:t>
      </w:r>
      <w:r>
        <w:rPr>
          <w:rFonts w:ascii="Arial" w:hAnsi="Arial"/>
        </w:rPr>
        <w:t xml:space="preserve">kg y 800 kg para garantizar una adaptación óptima a los distintos tipos de suelo. </w:t>
      </w:r>
    </w:p>
    <w:p w14:paraId="3DCAFF56" w14:textId="678CBE17" w:rsidR="00C97651" w:rsidRDefault="00067545" w:rsidP="00E90499">
      <w:pPr>
        <w:spacing w:after="120" w:line="360" w:lineRule="auto"/>
        <w:ind w:left="567" w:right="2262"/>
        <w:rPr>
          <w:rFonts w:ascii="Arial" w:hAnsi="Arial" w:cs="Arial"/>
          <w:bCs/>
        </w:rPr>
      </w:pPr>
      <w:r>
        <w:rPr>
          <w:rFonts w:ascii="Arial" w:hAnsi="Arial"/>
        </w:rPr>
        <w:t xml:space="preserve">En suelos ligeros, la púa con un ajuste de fuerza de desenganche inferior de 500 kg puede moverse hacia arriba más rápidamente en suelos con piedras grandes. Esto protege el bastidor del cultivador de acople de cargas excesivas y las piedras permanecen bajo la superficie. En suelos pesados, arcillosos o con compactación, la presión puede aumentar hasta 800 kg. Esto garantiza una descompactación estable y fiable del suelo. </w:t>
      </w:r>
    </w:p>
    <w:p w14:paraId="5AC4F99F" w14:textId="77777777" w:rsidR="00023031" w:rsidRDefault="00023031" w:rsidP="00E90499">
      <w:pPr>
        <w:spacing w:after="120" w:line="360" w:lineRule="auto"/>
        <w:ind w:left="567" w:right="2262"/>
        <w:rPr>
          <w:rFonts w:ascii="Arial" w:hAnsi="Arial" w:cs="Arial"/>
          <w:bCs/>
        </w:rPr>
      </w:pPr>
    </w:p>
    <w:p w14:paraId="33B8095F" w14:textId="00B24A21" w:rsidR="00A55005" w:rsidRDefault="00004816" w:rsidP="00E90499">
      <w:pPr>
        <w:spacing w:after="120" w:line="360" w:lineRule="auto"/>
        <w:ind w:left="567" w:right="2262"/>
        <w:rPr>
          <w:rFonts w:ascii="Arial" w:hAnsi="Arial" w:cs="Arial"/>
          <w:bCs/>
        </w:rPr>
      </w:pPr>
      <w:r>
        <w:rPr>
          <w:rFonts w:ascii="Arial" w:hAnsi="Arial"/>
          <w:b/>
        </w:rPr>
        <w:t>Seguridad de uso en las condiciones más duras</w:t>
      </w:r>
      <w:r>
        <w:rPr>
          <w:rFonts w:ascii="Arial" w:hAnsi="Arial"/>
          <w:b/>
        </w:rPr>
        <w:br/>
      </w:r>
      <w:r>
        <w:rPr>
          <w:rFonts w:ascii="Arial" w:hAnsi="Arial"/>
        </w:rPr>
        <w:t>Incluso en las condiciones más duras, la máquina mantiene de forma óptima la profundidad de trabajo deseada de hasta 35</w:t>
      </w:r>
      <w:r>
        <w:rPr>
          <w:rFonts w:ascii="Arial" w:hAnsi="Arial"/>
          <w:color w:val="FF0000"/>
        </w:rPr>
        <w:t xml:space="preserve"> </w:t>
      </w:r>
      <w:r>
        <w:rPr>
          <w:rFonts w:ascii="Arial" w:hAnsi="Arial"/>
        </w:rPr>
        <w:t xml:space="preserve">cm gracias a los elevados recorridos de elevación de las púas individuales. La púa C Mix Ultra ofrece un alto nivel de seguridad de uso y protege eficazmente la </w:t>
      </w:r>
      <w:r>
        <w:rPr>
          <w:rFonts w:ascii="Arial" w:hAnsi="Arial"/>
        </w:rPr>
        <w:lastRenderedPageBreak/>
        <w:t>cultivadora de acople a la vez que garantiza unas labores del suelo óptimas.</w:t>
      </w:r>
    </w:p>
    <w:p w14:paraId="29CE611D" w14:textId="03AA0897" w:rsidR="00D83923" w:rsidRDefault="00D83923" w:rsidP="00E90499">
      <w:pPr>
        <w:spacing w:after="120" w:line="360" w:lineRule="auto"/>
        <w:ind w:left="567" w:right="2262"/>
        <w:rPr>
          <w:rFonts w:ascii="Arial" w:hAnsi="Arial" w:cs="Arial"/>
          <w:bCs/>
        </w:rPr>
      </w:pPr>
      <w:r>
        <w:rPr>
          <w:rFonts w:ascii="Arial" w:hAnsi="Arial"/>
        </w:rPr>
        <w:t>El ajuste progresivo del sistema se lleva a cabo de manera sencilla y cómoda en la parte delantera del soporte de montaje. Allí se encuentra el manómetro de presión, bien visible desde el asiento del tractor para un mejor control.</w:t>
      </w:r>
    </w:p>
    <w:p w14:paraId="0D2F5791" w14:textId="477236B8" w:rsidR="00E90499" w:rsidRDefault="00E90499" w:rsidP="00E90499">
      <w:pPr>
        <w:spacing w:after="120" w:line="360" w:lineRule="auto"/>
        <w:ind w:left="567" w:right="2262"/>
        <w:rPr>
          <w:rFonts w:ascii="Arial" w:hAnsi="Arial" w:cs="Arial"/>
          <w:bCs/>
        </w:rPr>
      </w:pPr>
      <w:r>
        <w:rPr>
          <w:rFonts w:ascii="Arial" w:hAnsi="Arial"/>
        </w:rPr>
        <w:t xml:space="preserve">Además, el seguro de sobrecarga ultra protege el cultivador de forma especial: el sistema, compuesto por los cilindros hidráulicos instalados en las púas y los acumuladores hidráulicos centrales, garantiza un retroceso muy amortiguado de la púa C Mix Ultra a la posición ajustada tras su activación. Esta característica reduce significativamente el desgaste del seguro de sobrecarga, incluso en caso de activaciones frecuentes. </w:t>
      </w:r>
    </w:p>
    <w:p w14:paraId="6064E255" w14:textId="77777777" w:rsidR="00023031" w:rsidRDefault="00023031" w:rsidP="00E90499">
      <w:pPr>
        <w:spacing w:after="120" w:line="360" w:lineRule="auto"/>
        <w:ind w:left="567" w:right="2262"/>
        <w:rPr>
          <w:rFonts w:ascii="Arial" w:hAnsi="Arial" w:cs="Arial"/>
          <w:bCs/>
        </w:rPr>
      </w:pPr>
    </w:p>
    <w:p w14:paraId="4C08A166" w14:textId="19DD5FA5" w:rsidR="007639FE" w:rsidRDefault="00E90499" w:rsidP="00E90499">
      <w:pPr>
        <w:spacing w:after="120" w:line="360" w:lineRule="auto"/>
        <w:ind w:left="567" w:right="1695"/>
        <w:rPr>
          <w:rFonts w:ascii="Arial" w:hAnsi="Arial" w:cs="Arial"/>
          <w:bCs/>
        </w:rPr>
      </w:pPr>
      <w:r>
        <w:rPr>
          <w:rFonts w:ascii="Arial" w:hAnsi="Arial"/>
        </w:rPr>
        <w:t>La púa C Mix Ultra puede combinarse con el completo sistema de reja C Mix. La gama ofrece el tipo de reja adecuado para cada aplicación, desde rejas estándar hasta rejas HD altamente resistentes al desgaste.</w:t>
      </w:r>
    </w:p>
    <w:p w14:paraId="700C6714" w14:textId="66BEAC28" w:rsidR="00E90499" w:rsidRDefault="00E90499" w:rsidP="00004816">
      <w:pPr>
        <w:spacing w:after="120" w:line="360" w:lineRule="auto"/>
        <w:ind w:left="567" w:right="1553"/>
        <w:jc w:val="center"/>
        <w:rPr>
          <w:rFonts w:ascii="Arial" w:hAnsi="Arial" w:cs="Arial"/>
          <w:bCs/>
        </w:rPr>
      </w:pPr>
      <w:r>
        <w:rPr>
          <w:rFonts w:ascii="Arial" w:hAnsi="Arial"/>
          <w:noProof/>
        </w:rPr>
        <w:drawing>
          <wp:inline distT="0" distB="0" distL="0" distR="0" wp14:anchorId="39DD0B6F" wp14:editId="4A92E40F">
            <wp:extent cx="2484000" cy="3263763"/>
            <wp:effectExtent l="0" t="0" r="0" b="0"/>
            <wp:docPr id="897080101" name="Grafik 1" descr="Ein Bild, das Werkzeug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080101" name="Grafik 1" descr="Ein Bild, das Werkzeug enthält.&#10;&#10;Automatisch generierte Beschreibung mit mittlerer Zuverlässigkeit"/>
                    <pic:cNvPicPr>
                      <a:picLocks noChangeAspect="1" noChangeArrowheads="1"/>
                    </pic:cNvPicPr>
                  </pic:nvPicPr>
                  <pic:blipFill rotWithShape="1">
                    <a:blip r:embed="rId8">
                      <a:extLst>
                        <a:ext uri="{28A0092B-C50C-407E-A947-70E740481C1C}">
                          <a14:useLocalDpi xmlns:a14="http://schemas.microsoft.com/office/drawing/2010/main" val="0"/>
                        </a:ext>
                      </a:extLst>
                    </a:blip>
                    <a:srcRect l="15587" t="1979" r="11958" b="2670"/>
                    <a:stretch/>
                  </pic:blipFill>
                  <pic:spPr bwMode="auto">
                    <a:xfrm>
                      <a:off x="0" y="0"/>
                      <a:ext cx="2484000" cy="3263763"/>
                    </a:xfrm>
                    <a:prstGeom prst="rect">
                      <a:avLst/>
                    </a:prstGeom>
                    <a:noFill/>
                    <a:ln>
                      <a:noFill/>
                    </a:ln>
                    <a:extLst>
                      <a:ext uri="{53640926-AAD7-44D8-BBD7-CCE9431645EC}">
                        <a14:shadowObscured xmlns:a14="http://schemas.microsoft.com/office/drawing/2010/main"/>
                      </a:ext>
                    </a:extLst>
                  </pic:spPr>
                </pic:pic>
              </a:graphicData>
            </a:graphic>
          </wp:inline>
        </w:drawing>
      </w:r>
    </w:p>
    <w:p w14:paraId="32DC9246" w14:textId="01AAE7E9" w:rsidR="00FC5EA8" w:rsidRPr="00C97651" w:rsidRDefault="00FC5EA8" w:rsidP="00FC5EA8">
      <w:pPr>
        <w:spacing w:after="120" w:line="360" w:lineRule="auto"/>
        <w:ind w:left="567" w:right="2262"/>
        <w:rPr>
          <w:rFonts w:ascii="Arial" w:hAnsi="Arial" w:cs="Arial"/>
          <w:bCs/>
          <w:sz w:val="22"/>
          <w:szCs w:val="22"/>
        </w:rPr>
      </w:pPr>
      <w:r>
        <w:rPr>
          <w:rFonts w:ascii="Arial" w:hAnsi="Arial"/>
          <w:sz w:val="22"/>
        </w:rPr>
        <w:t>La púa C Mix Ultra muestra sus puntos fuertes especialmente en condiciones de suelo exigentes con sobrecargas habituales.</w:t>
      </w:r>
    </w:p>
    <w:p w14:paraId="1D460C8D" w14:textId="7C20445F" w:rsidR="00A7639F" w:rsidRDefault="00E90499" w:rsidP="00A7639F">
      <w:pPr>
        <w:spacing w:after="120" w:line="360" w:lineRule="auto"/>
        <w:ind w:left="567" w:right="986"/>
        <w:rPr>
          <w:rFonts w:ascii="Arial" w:hAnsi="Arial"/>
          <w:sz w:val="22"/>
        </w:rPr>
      </w:pPr>
      <w:r>
        <w:rPr>
          <w:rFonts w:ascii="Arial" w:hAnsi="Arial"/>
          <w:color w:val="FF0000"/>
          <w:sz w:val="22"/>
        </w:rPr>
        <w:lastRenderedPageBreak/>
        <w:t xml:space="preserve"> </w:t>
      </w:r>
      <w:r w:rsidR="00A7639F">
        <w:rPr>
          <w:rFonts w:ascii="Arial" w:hAnsi="Arial" w:cs="Arial"/>
          <w:bCs/>
          <w:noProof/>
        </w:rPr>
        <w:drawing>
          <wp:inline distT="0" distB="0" distL="0" distR="0" wp14:anchorId="7CEBEE50" wp14:editId="71E75FCF">
            <wp:extent cx="4680000" cy="3513661"/>
            <wp:effectExtent l="0" t="0" r="6350" b="0"/>
            <wp:docPr id="137976990" name="Grafik 2" descr="Ein Bild, das Traktor, draußen, Gras, Landwirtschaftstech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6990" name="Grafik 2" descr="Ein Bild, das Traktor, draußen, Gras, Landwirtschaftstechnik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61"/>
                    </a:xfrm>
                    <a:prstGeom prst="rect">
                      <a:avLst/>
                    </a:prstGeom>
                    <a:noFill/>
                    <a:ln>
                      <a:noFill/>
                    </a:ln>
                  </pic:spPr>
                </pic:pic>
              </a:graphicData>
            </a:graphic>
          </wp:inline>
        </w:drawing>
      </w:r>
    </w:p>
    <w:p w14:paraId="6977B4B0" w14:textId="11263904" w:rsidR="00E90499" w:rsidRDefault="00CF1A32" w:rsidP="00CF1A32">
      <w:pPr>
        <w:spacing w:after="120" w:line="360" w:lineRule="auto"/>
        <w:ind w:left="567" w:right="844"/>
        <w:rPr>
          <w:sz w:val="22"/>
        </w:rPr>
      </w:pPr>
      <w:r>
        <w:rPr>
          <w:rFonts w:ascii="Arial" w:hAnsi="Arial"/>
          <w:sz w:val="22"/>
        </w:rPr>
        <w:t>La elevada fuerza de desenganche de hasta 800 kg garantiza una profundidad de trabajo constante.</w:t>
      </w:r>
      <w:r>
        <w:rPr>
          <w:sz w:val="22"/>
        </w:rPr>
        <w:t xml:space="preserve"> </w:t>
      </w:r>
    </w:p>
    <w:p w14:paraId="305BBC46" w14:textId="6150430B" w:rsidR="00E90499" w:rsidRDefault="00A7639F" w:rsidP="00A7639F">
      <w:pPr>
        <w:spacing w:after="120" w:line="360" w:lineRule="auto"/>
        <w:ind w:left="567" w:right="844"/>
      </w:pPr>
      <w:r>
        <w:rPr>
          <w:rFonts w:ascii="Arial" w:hAnsi="Arial" w:cs="Arial"/>
          <w:b/>
          <w:bCs/>
          <w:noProof/>
          <w:color w:val="808080" w:themeColor="background1" w:themeShade="80"/>
          <w:sz w:val="20"/>
          <w:szCs w:val="20"/>
        </w:rPr>
        <w:drawing>
          <wp:inline distT="0" distB="0" distL="0" distR="0" wp14:anchorId="652ED12B" wp14:editId="5F28D569">
            <wp:extent cx="4680000" cy="3513660"/>
            <wp:effectExtent l="0" t="0" r="6350" b="0"/>
            <wp:docPr id="2045239636" name="Grafik 1" descr="Ein Bild, das draußen, Gras, Landwirtschaftstechnik,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239636" name="Grafik 1" descr="Ein Bild, das draußen, Gras, Landwirtschaftstechnik, Rad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513660"/>
                    </a:xfrm>
                    <a:prstGeom prst="rect">
                      <a:avLst/>
                    </a:prstGeom>
                    <a:noFill/>
                    <a:ln>
                      <a:noFill/>
                    </a:ln>
                  </pic:spPr>
                </pic:pic>
              </a:graphicData>
            </a:graphic>
          </wp:inline>
        </w:drawing>
      </w:r>
    </w:p>
    <w:p w14:paraId="7ECA1F5D" w14:textId="3C9003DF" w:rsidR="004A4E71" w:rsidRDefault="00E90499" w:rsidP="00A7639F">
      <w:pPr>
        <w:spacing w:after="120" w:line="360" w:lineRule="auto"/>
        <w:ind w:left="567" w:right="1695"/>
        <w:rPr>
          <w:rFonts w:ascii="Arial" w:hAnsi="Arial" w:cs="Arial"/>
          <w:bCs/>
        </w:rPr>
      </w:pPr>
      <w:r>
        <w:rPr>
          <w:rFonts w:ascii="Arial" w:hAnsi="Arial"/>
          <w:sz w:val="22"/>
        </w:rPr>
        <w:t>El Cenius Ultra es adecuado para suelos pesados y ligeros en condiciones pedregosas gracias al ajuste infinitamente variable de la fuerza de desenganche.</w:t>
      </w:r>
      <w:r w:rsidR="004A4E71">
        <w:br w:type="page"/>
      </w:r>
    </w:p>
    <w:p w14:paraId="2B221C8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56AC8C74" w14:textId="77777777" w:rsidR="00A42ED2" w:rsidRDefault="00A42ED2" w:rsidP="00A42ED2">
      <w:pPr>
        <w:spacing w:after="120" w:line="360" w:lineRule="auto"/>
        <w:ind w:left="567" w:right="1695"/>
        <w:rPr>
          <w:rFonts w:ascii="Arial" w:hAnsi="Arial" w:cs="Arial"/>
          <w:bCs/>
        </w:rPr>
      </w:pPr>
    </w:p>
    <w:p w14:paraId="34952731"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590D4F9A" w14:textId="2116D194"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binado. Basándose en estas competencias básicas, AMAZONE es hoy el especialista agrícola en “producción de cultivos inteligente”. Más información: </w:t>
      </w:r>
      <w:hyperlink r:id="rId11" w:history="1">
        <w:r w:rsidR="00A7639F" w:rsidRPr="007C7663">
          <w:rPr>
            <w:rStyle w:val="Hyperlink"/>
            <w:rFonts w:ascii="Arial" w:hAnsi="Arial"/>
            <w:sz w:val="20"/>
          </w:rPr>
          <w:t>www.amazone.es</w:t>
        </w:r>
      </w:hyperlink>
    </w:p>
    <w:p w14:paraId="6EB3A7C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3764A9" wp14:editId="511DA799">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B36A53" wp14:editId="7302F8DF">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1273A1" wp14:editId="62EAC1A0">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31304AB" wp14:editId="6BA70363">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39E30E" wp14:editId="24C84DC1">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23031">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EE09" w14:textId="77777777" w:rsidR="001302CF" w:rsidRDefault="001302CF">
      <w:r>
        <w:separator/>
      </w:r>
    </w:p>
  </w:endnote>
  <w:endnote w:type="continuationSeparator" w:id="0">
    <w:p w14:paraId="73E1922B" w14:textId="77777777" w:rsidR="001302CF" w:rsidRDefault="0013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63B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6C49426" wp14:editId="3E7423E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237B2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494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F237B28" w14:textId="77777777" w:rsidR="005E0980" w:rsidRPr="0093254A" w:rsidRDefault="005E0980" w:rsidP="006F7755">
                    <w:pPr>
                      <w:ind w:right="57"/>
                      <w:jc w:val="right"/>
                      <w:rPr>
                        <w:sz w:val="20"/>
                        <w:rFonts w:ascii="Arial" w:hAnsi="Arial"/>
                      </w:rPr>
                    </w:pPr>
                    <w:r>
                      <w:rPr>
                        <w:sz w:val="20"/>
                        <w:rFonts w:ascii="Arial" w:hAnsi="Arial"/>
                      </w:rPr>
                      <w:t xml:space="preserve">Página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de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8918A25" wp14:editId="526D5647">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363495"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793BB68" wp14:editId="098967E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5F1C5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7643B65" wp14:editId="5B478528">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4D0B9F"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9 -13 · D-49205 Hasbergen-Gaste</w:t>
                          </w:r>
                        </w:p>
                        <w:p w14:paraId="50C3A81B" w14:textId="6D1C5616"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A7639F">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43B65"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24D0B9F"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9 -13 · D-49205 Hasbergen-Gaste</w:t>
                    </w:r>
                  </w:p>
                  <w:p w14:paraId="50C3A81B" w14:textId="6D1C5616"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A7639F">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4D4B" w14:textId="77777777" w:rsidR="001302CF" w:rsidRDefault="001302CF">
      <w:r>
        <w:separator/>
      </w:r>
    </w:p>
  </w:footnote>
  <w:footnote w:type="continuationSeparator" w:id="0">
    <w:p w14:paraId="66110E17" w14:textId="77777777" w:rsidR="001302CF" w:rsidRDefault="00130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CD8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349C680" wp14:editId="6050CEC6">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271C98" w14:textId="03903053"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Nota de prensa </w:t>
                          </w:r>
                          <w:r w:rsidR="00A7639F">
                            <w:rPr>
                              <w:rFonts w:ascii="Arial" w:hAnsi="Arial"/>
                              <w:color w:val="FFFFFF" w:themeColor="background1"/>
                              <w:sz w:val="28"/>
                            </w:rPr>
                            <w:t>febrero</w:t>
                          </w:r>
                          <w:r>
                            <w:rPr>
                              <w:rFonts w:ascii="Arial" w:hAnsi="Arial"/>
                              <w:color w:val="FFFFFF" w:themeColor="background1"/>
                              <w:sz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49C680"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5F271C98" w14:textId="03903053"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Nota de prensa </w:t>
                    </w:r>
                    <w:r w:rsidR="00A7639F">
                      <w:rPr>
                        <w:rFonts w:ascii="Arial" w:hAnsi="Arial"/>
                        <w:color w:val="FFFFFF" w:themeColor="background1"/>
                        <w:sz w:val="28"/>
                      </w:rPr>
                      <w:t>febrero</w:t>
                    </w:r>
                    <w:r>
                      <w:rPr>
                        <w:rFonts w:ascii="Arial" w:hAnsi="Arial"/>
                        <w:color w:val="FFFFFF" w:themeColor="background1"/>
                        <w:sz w:val="28"/>
                      </w:rPr>
                      <w:t xml:space="preserv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7197D90" wp14:editId="47F2CBE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3D9F8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85983D" wp14:editId="482E39E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32C604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06FE8F3" wp14:editId="5048753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E6247E"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E8F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E6247E"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9"/>
    <w:rsid w:val="000008BF"/>
    <w:rsid w:val="0000280B"/>
    <w:rsid w:val="00003E4F"/>
    <w:rsid w:val="000047C6"/>
    <w:rsid w:val="00004816"/>
    <w:rsid w:val="000055DA"/>
    <w:rsid w:val="0000569A"/>
    <w:rsid w:val="00005750"/>
    <w:rsid w:val="000057B1"/>
    <w:rsid w:val="00005A76"/>
    <w:rsid w:val="00006782"/>
    <w:rsid w:val="00013C90"/>
    <w:rsid w:val="000148C6"/>
    <w:rsid w:val="00020A73"/>
    <w:rsid w:val="00022927"/>
    <w:rsid w:val="00022EA9"/>
    <w:rsid w:val="00023031"/>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17D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545"/>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105"/>
    <w:rsid w:val="000E0DD7"/>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E48"/>
    <w:rsid w:val="00125E67"/>
    <w:rsid w:val="0012682A"/>
    <w:rsid w:val="00126BDB"/>
    <w:rsid w:val="00126F6D"/>
    <w:rsid w:val="0012731C"/>
    <w:rsid w:val="00127C44"/>
    <w:rsid w:val="001302CF"/>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2EFB"/>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10C6"/>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A6E"/>
    <w:rsid w:val="00280DCF"/>
    <w:rsid w:val="00281B1F"/>
    <w:rsid w:val="002828C5"/>
    <w:rsid w:val="002829C0"/>
    <w:rsid w:val="0028387B"/>
    <w:rsid w:val="00285740"/>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DE2"/>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7D5E"/>
    <w:rsid w:val="002F0698"/>
    <w:rsid w:val="002F06C3"/>
    <w:rsid w:val="002F0C60"/>
    <w:rsid w:val="002F3F80"/>
    <w:rsid w:val="002F53E9"/>
    <w:rsid w:val="002F54BD"/>
    <w:rsid w:val="002F58F1"/>
    <w:rsid w:val="002F5AF3"/>
    <w:rsid w:val="002F5B4F"/>
    <w:rsid w:val="002F6BC8"/>
    <w:rsid w:val="0030035B"/>
    <w:rsid w:val="00300C6C"/>
    <w:rsid w:val="00302020"/>
    <w:rsid w:val="00302EC3"/>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2311"/>
    <w:rsid w:val="003375ED"/>
    <w:rsid w:val="003400A3"/>
    <w:rsid w:val="0034016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161"/>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08D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13A"/>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3F00"/>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2E2E"/>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6E5D"/>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332"/>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950"/>
    <w:rsid w:val="006504D5"/>
    <w:rsid w:val="0065335F"/>
    <w:rsid w:val="00653C7C"/>
    <w:rsid w:val="006540FC"/>
    <w:rsid w:val="006553F8"/>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880"/>
    <w:rsid w:val="006C341C"/>
    <w:rsid w:val="006D24A3"/>
    <w:rsid w:val="006D2A85"/>
    <w:rsid w:val="006D2F24"/>
    <w:rsid w:val="006D4215"/>
    <w:rsid w:val="006D5DE3"/>
    <w:rsid w:val="006D6692"/>
    <w:rsid w:val="006E21AA"/>
    <w:rsid w:val="006E33BB"/>
    <w:rsid w:val="006E3615"/>
    <w:rsid w:val="006E596F"/>
    <w:rsid w:val="006E6C7E"/>
    <w:rsid w:val="006E6D4F"/>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1E73"/>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49B5"/>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95"/>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8BC"/>
    <w:rsid w:val="008E16F1"/>
    <w:rsid w:val="008E2078"/>
    <w:rsid w:val="008E26EA"/>
    <w:rsid w:val="008E416F"/>
    <w:rsid w:val="008E4FBE"/>
    <w:rsid w:val="008E4FE2"/>
    <w:rsid w:val="008E605B"/>
    <w:rsid w:val="008E7382"/>
    <w:rsid w:val="008F018E"/>
    <w:rsid w:val="008F17E1"/>
    <w:rsid w:val="008F2038"/>
    <w:rsid w:val="008F3BCA"/>
    <w:rsid w:val="008F5D70"/>
    <w:rsid w:val="008F7B54"/>
    <w:rsid w:val="00902335"/>
    <w:rsid w:val="00903BD1"/>
    <w:rsid w:val="00905607"/>
    <w:rsid w:val="009056AA"/>
    <w:rsid w:val="00910A7E"/>
    <w:rsid w:val="00911D0D"/>
    <w:rsid w:val="00913866"/>
    <w:rsid w:val="0091391B"/>
    <w:rsid w:val="00913ABA"/>
    <w:rsid w:val="00914BEC"/>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0C9"/>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005"/>
    <w:rsid w:val="00A55A28"/>
    <w:rsid w:val="00A57A2A"/>
    <w:rsid w:val="00A60193"/>
    <w:rsid w:val="00A62065"/>
    <w:rsid w:val="00A638A2"/>
    <w:rsid w:val="00A70034"/>
    <w:rsid w:val="00A74116"/>
    <w:rsid w:val="00A74C0A"/>
    <w:rsid w:val="00A7639F"/>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97579"/>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3C5B"/>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026E"/>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2DEF"/>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485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97651"/>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A32"/>
    <w:rsid w:val="00CF3AD0"/>
    <w:rsid w:val="00CF3FBF"/>
    <w:rsid w:val="00CF4B64"/>
    <w:rsid w:val="00D004BF"/>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F84"/>
    <w:rsid w:val="00D71C9B"/>
    <w:rsid w:val="00D72F44"/>
    <w:rsid w:val="00D744EF"/>
    <w:rsid w:val="00D8077E"/>
    <w:rsid w:val="00D81F2C"/>
    <w:rsid w:val="00D829C8"/>
    <w:rsid w:val="00D83715"/>
    <w:rsid w:val="00D83923"/>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7E"/>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72FF"/>
    <w:rsid w:val="00E210CD"/>
    <w:rsid w:val="00E2251E"/>
    <w:rsid w:val="00E236C2"/>
    <w:rsid w:val="00E247DB"/>
    <w:rsid w:val="00E25D8E"/>
    <w:rsid w:val="00E260F9"/>
    <w:rsid w:val="00E27DFB"/>
    <w:rsid w:val="00E30156"/>
    <w:rsid w:val="00E3043E"/>
    <w:rsid w:val="00E32A90"/>
    <w:rsid w:val="00E32E07"/>
    <w:rsid w:val="00E33527"/>
    <w:rsid w:val="00E33D18"/>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049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6D6D"/>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CD1"/>
    <w:rsid w:val="00F7525F"/>
    <w:rsid w:val="00F8079B"/>
    <w:rsid w:val="00F80F29"/>
    <w:rsid w:val="00F8399A"/>
    <w:rsid w:val="00F91A77"/>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5EA8"/>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D169429"/>
  <w15:docId w15:val="{734DED26-7BCC-4E73-994B-F0C8DF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A76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es"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616</Words>
  <Characters>3339</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23</cp:revision>
  <cp:lastPrinted>2010-02-24T09:10:00Z</cp:lastPrinted>
  <dcterms:created xsi:type="dcterms:W3CDTF">2024-12-18T11:13:00Z</dcterms:created>
  <dcterms:modified xsi:type="dcterms:W3CDTF">2025-02-14T10:15:00Z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